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参会码申请及获取说明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1、登录系统后台，点击“招聘会”，找到需要提交参会码材料的招聘会，点击右下角的“参会码”。</w:t>
      </w:r>
    </w:p>
    <w:p>
      <w:r>
        <w:drawing>
          <wp:inline distT="0" distB="0" distL="114300" distR="114300">
            <wp:extent cx="5264150" cy="2394585"/>
            <wp:effectExtent l="0" t="0" r="889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3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根据提示提交上传相应材料，添加参会人员信息，最后点击生成参会码；</w:t>
      </w:r>
    </w:p>
    <w:p>
      <w:pPr>
        <w:numPr>
          <w:ilvl w:val="0"/>
          <w:numId w:val="0"/>
        </w:numPr>
        <w:rPr>
          <w:rFonts w:hint="eastAsia" w:eastAsiaTheme="minorEastAsia"/>
          <w:b/>
          <w:bCs/>
          <w:lang w:eastAsia="zh-CN"/>
        </w:rPr>
      </w:pPr>
      <w:r>
        <w:drawing>
          <wp:inline distT="0" distB="0" distL="114300" distR="114300">
            <wp:extent cx="5265420" cy="3246120"/>
            <wp:effectExtent l="0" t="0" r="11430" b="1143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4310" cy="3518535"/>
            <wp:effectExtent l="0" t="0" r="2540" b="57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4310" cy="1899285"/>
            <wp:effectExtent l="0" t="0" r="254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扫码关注（无需绑定账号</w:t>
      </w:r>
      <w:bookmarkStart w:id="0" w:name="_GoBack"/>
      <w:bookmarkEnd w:id="0"/>
      <w:r>
        <w:rPr>
          <w:rFonts w:hint="eastAsia"/>
          <w:lang w:val="en-US" w:eastAsia="zh-CN"/>
        </w:rPr>
        <w:t>），审核通过后获取参会码相关信息。</w:t>
      </w:r>
    </w:p>
    <w:p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3044825" cy="3008630"/>
            <wp:effectExtent l="0" t="0" r="3175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44825" cy="300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进入：建设人才市场企业服务 微信公众号，点击右下角“参会码”，填写相关信息获取；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2440940</wp:posOffset>
            </wp:positionH>
            <wp:positionV relativeFrom="paragraph">
              <wp:posOffset>178435</wp:posOffset>
            </wp:positionV>
            <wp:extent cx="1908175" cy="4156075"/>
            <wp:effectExtent l="0" t="0" r="15875" b="15875"/>
            <wp:wrapNone/>
            <wp:docPr id="9" name="图片 9" descr="032b24bcec4834327cedbadf4a541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32b24bcec4834327cedbadf4a541d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415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175895</wp:posOffset>
            </wp:positionV>
            <wp:extent cx="1925955" cy="4174490"/>
            <wp:effectExtent l="0" t="0" r="17145" b="16510"/>
            <wp:wrapNone/>
            <wp:docPr id="8" name="图片 8" descr="e98cba0f4a83e2f3b0ac1a6e39ae0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98cba0f4a83e2f3b0ac1a6e39ae0f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417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D3624"/>
    <w:multiLevelType w:val="singleLevel"/>
    <w:tmpl w:val="596D362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iY2VkZGNmZWMxMGZhOTQyMzU3N2VlOTA1N2QyYTMifQ=="/>
  </w:docVars>
  <w:rsids>
    <w:rsidRoot w:val="7E462F89"/>
    <w:rsid w:val="26562138"/>
    <w:rsid w:val="4D926EA3"/>
    <w:rsid w:val="4E961292"/>
    <w:rsid w:val="53E4409D"/>
    <w:rsid w:val="7D9E1AF1"/>
    <w:rsid w:val="7E46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2021-10-27T03:16:00Z</dcterms:created>
  <dc:creator>wendy</dc:creator>
  <cp:lastModifiedBy>wendy</cp:lastModifiedBy>
  <dcterms:modified xsi:type="dcterms:W3CDTF">2023-05-31T03:23:53Z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4C45C5F82C2E45C6B1BD6E19A19275B7</vt:lpwstr>
  </property>
</Properties>
</file>