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Times New Roman" w:hAnsi="Times New Roman" w:eastAsia="华文行楷" w:cs="Times New Roman"/>
          <w:color w:val="FF0000"/>
          <w:sz w:val="58"/>
          <w:szCs w:val="58"/>
        </w:rPr>
      </w:pPr>
      <w:r>
        <w:rPr>
          <w:rFonts w:ascii="Times New Roman" w:hAnsi="Times New Roman" w:eastAsia="华文行楷" w:cs="Times New Roman"/>
          <w:color w:val="FF0000"/>
          <w:sz w:val="58"/>
          <w:szCs w:val="58"/>
        </w:rPr>
        <w:t>三明学院本科教学工作审核评估</w:t>
      </w:r>
    </w:p>
    <w:p>
      <w:pPr>
        <w:spacing w:afterLines="50"/>
        <w:jc w:val="center"/>
        <w:rPr>
          <w:rFonts w:ascii="Times New Roman" w:hAnsi="Times New Roman" w:cs="Times New Roman"/>
          <w:b/>
          <w:color w:val="FF0000"/>
          <w:spacing w:val="-20"/>
          <w:w w:val="73"/>
          <w:sz w:val="126"/>
          <w:szCs w:val="126"/>
        </w:rPr>
      </w:pPr>
      <w:r>
        <w:rPr>
          <w:rFonts w:ascii="Times New Roman" w:hAnsi="Times New Roman" w:eastAsia="华文行楷" w:cs="Times New Roman"/>
          <w:color w:val="FF0000"/>
          <w:sz w:val="126"/>
          <w:szCs w:val="126"/>
        </w:rPr>
        <w:t>工作简报</w:t>
      </w:r>
    </w:p>
    <w:p>
      <w:pPr>
        <w:adjustRightInd w:val="0"/>
        <w:snapToGrid w:val="0"/>
        <w:ind w:firstLine="3040" w:firstLineChars="950"/>
        <w:rPr>
          <w:rFonts w:ascii="Times New Roman" w:hAnsi="Times New Roman" w:eastAsia="微软雅黑" w:cs="Times New Roman"/>
          <w:sz w:val="32"/>
          <w:szCs w:val="32"/>
        </w:rPr>
      </w:pPr>
    </w:p>
    <w:p>
      <w:pPr>
        <w:adjustRightInd w:val="0"/>
        <w:snapToGrid w:val="0"/>
        <w:spacing w:line="360" w:lineRule="auto"/>
        <w:jc w:val="center"/>
        <w:rPr>
          <w:rFonts w:ascii="Times New Roman" w:hAnsi="Times New Roman" w:eastAsia="楷体" w:cs="Times New Roman"/>
          <w:sz w:val="32"/>
          <w:szCs w:val="32"/>
        </w:rPr>
      </w:pPr>
      <w:r>
        <w:rPr>
          <w:rFonts w:hint="eastAsia" w:ascii="Times New Roman" w:hAnsi="Times New Roman" w:eastAsia="楷体" w:cs="Times New Roman"/>
          <w:sz w:val="32"/>
          <w:szCs w:val="32"/>
        </w:rPr>
        <w:t>（</w:t>
      </w:r>
      <w:r>
        <w:rPr>
          <w:rFonts w:ascii="Times New Roman" w:hAnsi="Times New Roman" w:eastAsia="楷体" w:cs="Times New Roman"/>
          <w:sz w:val="32"/>
          <w:szCs w:val="32"/>
        </w:rPr>
        <w:t>第</w:t>
      </w:r>
      <w:r>
        <w:rPr>
          <w:rFonts w:hint="eastAsia" w:ascii="Times New Roman" w:hAnsi="Times New Roman" w:eastAsia="楷体" w:cs="Times New Roman"/>
          <w:sz w:val="32"/>
          <w:szCs w:val="32"/>
          <w:lang w:val="en-US" w:eastAsia="zh-CN"/>
        </w:rPr>
        <w:t>6</w:t>
      </w:r>
      <w:r>
        <w:rPr>
          <w:rFonts w:ascii="Times New Roman" w:hAnsi="Times New Roman" w:eastAsia="楷体" w:cs="Times New Roman"/>
          <w:sz w:val="32"/>
          <w:szCs w:val="32"/>
        </w:rPr>
        <w:t>期</w:t>
      </w:r>
      <w:r>
        <w:rPr>
          <w:rFonts w:hint="eastAsia" w:ascii="Times New Roman" w:hAnsi="Times New Roman" w:eastAsia="楷体" w:cs="Times New Roman"/>
          <w:sz w:val="32"/>
          <w:szCs w:val="32"/>
          <w:lang w:eastAsia="zh-CN"/>
        </w:rPr>
        <w:t>）</w:t>
      </w:r>
    </w:p>
    <w:p>
      <w:pPr>
        <w:adjustRightInd w:val="0"/>
        <w:snapToGrid w:val="0"/>
        <w:spacing w:line="360" w:lineRule="auto"/>
        <w:ind w:firstLine="480" w:firstLineChars="150"/>
        <w:rPr>
          <w:rFonts w:ascii="Times New Roman" w:hAnsi="Times New Roman" w:eastAsia="楷体" w:cs="Times New Roman"/>
          <w:sz w:val="32"/>
          <w:szCs w:val="32"/>
        </w:rPr>
      </w:pPr>
      <w:r>
        <w:rPr>
          <w:rFonts w:ascii="Times New Roman" w:hAnsi="Times New Roman" w:eastAsia="楷体" w:cs="Times New Roman"/>
          <w:sz w:val="32"/>
          <w:szCs w:val="32"/>
        </w:rPr>
        <w:t>审核评估工作办公室             201</w:t>
      </w:r>
      <w:r>
        <w:rPr>
          <w:rFonts w:hint="eastAsia" w:ascii="Times New Roman" w:hAnsi="Times New Roman" w:eastAsia="楷体" w:cs="Times New Roman"/>
          <w:sz w:val="32"/>
          <w:szCs w:val="32"/>
        </w:rPr>
        <w:t>8</w:t>
      </w:r>
      <w:r>
        <w:rPr>
          <w:rFonts w:ascii="Times New Roman" w:hAnsi="Times New Roman" w:eastAsia="楷体" w:cs="Times New Roman"/>
          <w:sz w:val="32"/>
          <w:szCs w:val="32"/>
        </w:rPr>
        <w:t>年3月19日</w:t>
      </w:r>
    </w:p>
    <w:p>
      <w:pPr>
        <w:jc w:val="center"/>
        <w:rPr>
          <w:rFonts w:ascii="Times New Roman" w:hAnsi="Times New Roman" w:eastAsia="微软雅黑" w:cs="Times New Roman"/>
          <w:sz w:val="44"/>
          <w:szCs w:val="44"/>
        </w:rPr>
      </w:pPr>
      <w:r>
        <w:rPr>
          <w:rFonts w:ascii="Times New Roman" w:hAnsi="Times New Roman" w:eastAsia="微软雅黑" w:cs="Times New Roman"/>
        </w:rPr>
        <w:drawing>
          <wp:inline distT="0" distB="0" distL="0" distR="0">
            <wp:extent cx="5351145" cy="77470"/>
            <wp:effectExtent l="0" t="0" r="1905" b="18415"/>
            <wp:docPr id="13" name="图片 13" descr="C:\Users\ADMINI~1\AppData\Local\Temp\ksohtml\wps38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38AC.tmp.png"/>
                    <pic:cNvPicPr>
                      <a:picLocks noChangeAspect="1" noChangeArrowheads="1"/>
                    </pic:cNvPicPr>
                  </pic:nvPicPr>
                  <pic:blipFill>
                    <a:blip r:embed="rId5" cstate="print"/>
                    <a:srcRect/>
                    <a:stretch>
                      <a:fillRect/>
                    </a:stretch>
                  </pic:blipFill>
                  <pic:spPr>
                    <a:xfrm>
                      <a:off x="0" y="0"/>
                      <a:ext cx="5351145" cy="77470"/>
                    </a:xfrm>
                    <a:prstGeom prst="rect">
                      <a:avLst/>
                    </a:prstGeom>
                    <a:noFill/>
                    <a:ln w="9525">
                      <a:noFill/>
                      <a:miter lim="800000"/>
                      <a:headEnd/>
                      <a:tailEnd/>
                    </a:ln>
                  </pic:spPr>
                </pic:pic>
              </a:graphicData>
            </a:graphic>
          </wp:inline>
        </w:drawing>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hint="eastAsia" w:ascii="方正小标宋简体" w:hAnsi="Wingdings" w:eastAsia="方正小标宋简体" w:cs="Wingdings"/>
          <w:kern w:val="0"/>
          <w:sz w:val="44"/>
          <w:szCs w:val="4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hint="eastAsia" w:ascii="Times New Roman" w:hAnsi="Times New Roman" w:cs="Times New Roman"/>
          <w:sz w:val="28"/>
          <w:szCs w:val="28"/>
        </w:rPr>
      </w:pPr>
      <w:r>
        <w:rPr>
          <w:rFonts w:hint="eastAsia" w:ascii="方正小标宋简体" w:hAnsi="Wingdings" w:eastAsia="方正小标宋简体" w:cs="Wingdings"/>
          <w:kern w:val="0"/>
          <w:sz w:val="44"/>
          <w:szCs w:val="44"/>
        </w:rPr>
        <w:t>本期导读</w:t>
      </w:r>
    </w:p>
    <w:sdt>
      <w:sdtPr>
        <w:rPr>
          <w:rFonts w:ascii="宋体" w:hAnsi="宋体" w:eastAsia="宋体"/>
          <w:sz w:val="21"/>
        </w:rPr>
        <w:id w:val="147463759"/>
        <w:docPartObj>
          <w:docPartGallery w:val="Table of Contents"/>
          <w:docPartUnique/>
        </w:docPartObj>
      </w:sdtPr>
      <w:sdtEndPr>
        <w:rPr>
          <w:rFonts w:ascii="宋体" w:hAnsi="宋体" w:eastAsia="宋体"/>
          <w:sz w:val="20"/>
          <w:szCs w:val="20"/>
        </w:rPr>
      </w:sdtEndPr>
      <w:sdtContent>
        <w:p>
          <w:pPr>
            <w:jc w:val="center"/>
          </w:pPr>
        </w:p>
        <w:p>
          <w:pPr>
            <w:pStyle w:val="12"/>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_Toc25894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3759"/>
              <w:placeholder>
                <w:docPart w:val="{949a44e5-aec0-4b0d-be49-d47cd491903c}"/>
              </w:placeholder>
            </w:sdtPr>
            <w:sdtEndPr>
              <w:rPr>
                <w:rFonts w:hint="eastAsia" w:asciiTheme="minorEastAsia" w:hAnsiTheme="minorEastAsia" w:eastAsiaTheme="minorEastAsia" w:cstheme="minorEastAsia"/>
                <w:kern w:val="2"/>
                <w:sz w:val="28"/>
                <w:szCs w:val="28"/>
                <w:lang w:val="en-US" w:eastAsia="zh-CN" w:bidi="ar-SA"/>
              </w:rPr>
            </w:sdtEndPr>
            <w:sdtContent>
              <w:r>
                <w:rPr>
                  <w:rFonts w:ascii="Wingdings" w:hAnsi="Wingdings" w:eastAsia="宋体" w:cs="Wingdings"/>
                  <w:b/>
                  <w:kern w:val="0"/>
                  <w:sz w:val="32"/>
                  <w:szCs w:val="32"/>
                </w:rPr>
                <w:t></w:t>
              </w:r>
              <w:r>
                <w:rPr>
                  <w:rFonts w:hint="eastAsia" w:asciiTheme="minorEastAsia" w:hAnsiTheme="minorEastAsia" w:eastAsiaTheme="minorEastAsia" w:cstheme="minorEastAsia"/>
                  <w:sz w:val="28"/>
                  <w:szCs w:val="28"/>
                </w:rPr>
                <w:t>我校两个专业通过第二批IEET专业认证</w:t>
              </w:r>
            </w:sdtContent>
          </w:sdt>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12"/>
            <w:tabs>
              <w:tab w:val="right" w:leader="dot" w:pos="8306"/>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_Toc17261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3759"/>
              <w:placeholder>
                <w:docPart w:val="{72b5ceca-c8e9-4446-8aa6-998f373ad047}"/>
              </w:placeholder>
            </w:sdtPr>
            <w:sdtEndPr>
              <w:rPr>
                <w:rFonts w:hint="eastAsia" w:asciiTheme="minorEastAsia" w:hAnsiTheme="minorEastAsia" w:eastAsiaTheme="minorEastAsia" w:cstheme="minorEastAsia"/>
                <w:kern w:val="2"/>
                <w:sz w:val="28"/>
                <w:szCs w:val="28"/>
                <w:lang w:val="en-US" w:eastAsia="zh-CN" w:bidi="ar-SA"/>
              </w:rPr>
            </w:sdtEndPr>
            <w:sdtContent>
              <w:r>
                <w:rPr>
                  <w:rFonts w:ascii="Wingdings" w:hAnsi="Wingdings" w:eastAsia="宋体" w:cs="Wingdings"/>
                  <w:b/>
                  <w:kern w:val="0"/>
                  <w:sz w:val="32"/>
                  <w:szCs w:val="32"/>
                </w:rPr>
                <w:t></w:t>
              </w:r>
              <w:r>
                <w:rPr>
                  <w:rFonts w:hint="eastAsia" w:asciiTheme="minorEastAsia" w:hAnsiTheme="minorEastAsia" w:eastAsiaTheme="minorEastAsia" w:cstheme="minorEastAsia"/>
                  <w:sz w:val="28"/>
                  <w:szCs w:val="28"/>
                </w:rPr>
                <w:t>我校参加教育部本科教学工作审核评估培训会</w:t>
              </w:r>
            </w:sdtContent>
          </w:sdt>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p>
      </w:sdtContent>
    </w:sdt>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kern w:val="0"/>
          <w:sz w:val="36"/>
          <w:szCs w:val="36"/>
        </w:rPr>
        <w:sectPr>
          <w:pgSz w:w="11906" w:h="16838"/>
          <w:pgMar w:top="1440" w:right="1800" w:bottom="1440" w:left="1800" w:header="851" w:footer="992" w:gutter="0"/>
          <w:pgNumType w:fmt="decimal" w:start="1"/>
          <w:cols w:space="425" w:num="1"/>
          <w:docGrid w:type="lines" w:linePitch="312" w:charSpace="0"/>
        </w:sectPr>
      </w:pPr>
      <w:bookmarkStart w:id="0" w:name="_Toc2589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我校两个专业通过第二批IEET专业认证</w:t>
      </w:r>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cs="Times New Roman"/>
          <w:sz w:val="28"/>
          <w:szCs w:val="28"/>
        </w:rPr>
      </w:pP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日前，福建高校IEET工程及科技教育认证项目证书颁发仪式暨专家培训会在福州举行。我校土木工程、机械设计制造及其自动化两个专业认真参与认证各个环节，在实地访评中获得专家认可，顺利通过第二批IEET专业认证。</w: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据悉，福建高校IEET工程及科技教育认证项目合作由福建省教育评估研究中心和台湾中华工程教育学会（IEET）于2015年8月启动，项目坚持“学校自愿、试点先行、积累经验、逐步推进”原则，第一批有14个专业通过认证，第二批有26个专业通过认证。</w: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目前，我校已有化学工程与工艺、土木工程、机械设计制造及其自动化等3个专业顺利通过第一、二批的专业认证，第三批参与认证的网络工程、电子信息工程两个专业正接受培训并开展各项准备工作，预计于今年11月接受实地访评。我校将做好各项组织和服务工作，积极推动专业建设水平和人才培养质量的提升。</w:t>
      </w:r>
    </w:p>
    <w:p>
      <w:pPr>
        <w:spacing w:line="540" w:lineRule="exact"/>
        <w:ind w:firstLine="560" w:firstLineChars="200"/>
        <w:rPr>
          <w:rFonts w:ascii="Times New Roman" w:hAnsi="Times New Roman" w:cs="Times New Roman"/>
          <w:sz w:val="28"/>
          <w:szCs w:val="28"/>
        </w:rPr>
      </w:pPr>
    </w:p>
    <w:p>
      <w:pPr>
        <w:widowControl/>
        <w:ind w:firstLine="540" w:firstLineChars="200"/>
        <w:jc w:val="left"/>
        <w:rPr>
          <w:rFonts w:ascii="Times New Roman" w:hAnsi="Times New Roman" w:cs="Times New Roman"/>
        </w:rPr>
      </w:pPr>
      <w:r>
        <w:rPr>
          <w:rFonts w:ascii="Times New Roman" w:hAnsi="Times New Roman" w:eastAsia="Hiragino Sans GB" w:cs="Times New Roman"/>
          <w:b/>
          <w:color w:val="3E3E3E"/>
          <w:kern w:val="0"/>
          <w:sz w:val="27"/>
          <w:szCs w:val="27"/>
          <w:shd w:val="clear" w:color="auto" w:fill="FFFFFF"/>
        </w:rPr>
        <w:t>福建高校IEET工程及科技教育认证通过专业名单</w:t>
      </w:r>
    </w:p>
    <w:p>
      <w:pPr>
        <w:widowControl/>
        <w:ind w:firstLine="480" w:firstLineChars="200"/>
        <w:jc w:val="center"/>
        <w:rPr>
          <w:rFonts w:ascii="Times New Roman" w:hAnsi="Times New Roman" w:cs="Times New Roman"/>
        </w:rPr>
      </w:pPr>
      <w:r>
        <w:rPr>
          <w:rFonts w:ascii="Times New Roman" w:hAnsi="Times New Roman" w:cs="Times New Roman"/>
          <w:kern w:val="0"/>
          <w:sz w:val="24"/>
          <w:szCs w:val="24"/>
        </w:rPr>
        <w:t>  </w:t>
      </w:r>
    </w:p>
    <w:tbl>
      <w:tblPr>
        <w:tblStyle w:val="8"/>
        <w:tblW w:w="8336" w:type="dxa"/>
        <w:jc w:val="center"/>
        <w:tblInd w:w="0" w:type="dxa"/>
        <w:tblLayout w:type="fixed"/>
        <w:tblCellMar>
          <w:top w:w="0" w:type="dxa"/>
          <w:left w:w="0" w:type="dxa"/>
          <w:bottom w:w="0" w:type="dxa"/>
          <w:right w:w="0" w:type="dxa"/>
        </w:tblCellMar>
      </w:tblPr>
      <w:tblGrid>
        <w:gridCol w:w="3357"/>
        <w:gridCol w:w="3680"/>
        <w:gridCol w:w="1299"/>
      </w:tblGrid>
      <w:tr>
        <w:tblPrEx>
          <w:tblLayout w:type="fixed"/>
          <w:tblCellMar>
            <w:top w:w="0" w:type="dxa"/>
            <w:left w:w="0" w:type="dxa"/>
            <w:bottom w:w="0" w:type="dxa"/>
            <w:right w:w="0" w:type="dxa"/>
          </w:tblCellMar>
        </w:tblPrEx>
        <w:trPr>
          <w:trHeight w:val="400" w:hRule="atLeast"/>
          <w:jc w:val="center"/>
        </w:trPr>
        <w:tc>
          <w:tcPr>
            <w:tcW w:w="3357" w:type="dxa"/>
            <w:tcBorders>
              <w:top w:val="single" w:color="000000" w:sz="6" w:space="0"/>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b/>
                <w:color w:val="3E3E3E"/>
                <w:szCs w:val="24"/>
              </w:rPr>
              <w:t>高校名称</w:t>
            </w:r>
          </w:p>
        </w:tc>
        <w:tc>
          <w:tcPr>
            <w:tcW w:w="3680" w:type="dxa"/>
            <w:tcBorders>
              <w:top w:val="single" w:color="000000" w:sz="6" w:space="0"/>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b/>
                <w:color w:val="3E3E3E"/>
                <w:szCs w:val="24"/>
              </w:rPr>
              <w:t>专业名称</w:t>
            </w:r>
          </w:p>
        </w:tc>
        <w:tc>
          <w:tcPr>
            <w:tcW w:w="1299" w:type="dxa"/>
            <w:tcBorders>
              <w:top w:val="single" w:color="000000" w:sz="6" w:space="0"/>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b/>
                <w:color w:val="3E3E3E"/>
                <w:szCs w:val="24"/>
              </w:rPr>
              <w:t>备注</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福州大学</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机械设计制造及其自动化</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福州大学</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环境工程</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福州大学</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电子信息工程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华侨大学</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工业设计</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华侨大学</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集成电路设计与集成系统</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华侨大学</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数字媒体技术</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华侨大学</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功能材料</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福建师范大学</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光电信息科学与工程</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eastAsia="宋体"/>
                <w:color w:val="3E3E3E"/>
                <w:szCs w:val="24"/>
              </w:rPr>
            </w:pPr>
            <w:r>
              <w:rPr>
                <w:rFonts w:ascii="Times New Roman" w:hAnsi="Times New Roman" w:eastAsia="宋体"/>
                <w:b/>
                <w:color w:val="3E3E3E"/>
                <w:szCs w:val="24"/>
              </w:rPr>
              <w:t>高校名称</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eastAsia="宋体"/>
                <w:color w:val="3E3E3E"/>
                <w:szCs w:val="24"/>
              </w:rPr>
            </w:pPr>
            <w:r>
              <w:rPr>
                <w:rFonts w:ascii="Times New Roman" w:hAnsi="Times New Roman" w:eastAsia="宋体"/>
                <w:b/>
                <w:color w:val="3E3E3E"/>
                <w:szCs w:val="24"/>
              </w:rPr>
              <w:t>专业名称</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eastAsia="宋体"/>
                <w:color w:val="3E3E3E"/>
                <w:szCs w:val="24"/>
              </w:rPr>
            </w:pPr>
            <w:r>
              <w:rPr>
                <w:rFonts w:ascii="Times New Roman" w:hAnsi="Times New Roman" w:eastAsia="宋体"/>
                <w:b/>
                <w:color w:val="3E3E3E"/>
                <w:szCs w:val="24"/>
              </w:rPr>
              <w:t>备注</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福建师范大学</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生物工程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福建农林大学</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制药工程</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福建农林大学</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环境工程</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福建农林大学</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食品科学与工程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福建农林大学</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材料科学与工程</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福建农林大学</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机械设计制造及其自动化</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集美大学</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食品科学与工程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集美大学</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机械设计制造及其自动化</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福建工程学院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计算机科学与技术</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福建工程学院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材料成型及控制工程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福建工程学院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工业工程</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福建工程学院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环境工程</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厦门理工学院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计算机科学与技术</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厦门理工学院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材料成型及控制工程</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厦门理工学院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软件工程</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厦门理工学院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环境工程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武夷学院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土木工程</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武夷学院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环境工程</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武夷学院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计算机科学与技术</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莆田学院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土木工程</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莆田学院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计算机科学与技术</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莆田学院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测控技术与仪器</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泉州师范学院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化学工程与工艺</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三明学院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化学工程与工艺</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第一批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三明学院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土木工程</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三明学院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机械设计制造及其自动化</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FF0000"/>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龙岩学院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机械设计制造及其自动化</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福建船政交通职业学院</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道路桥梁工程技术</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福建信息职业技术学院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电子信息工程技术</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闽西职业技术学院</w:t>
            </w:r>
          </w:p>
        </w:tc>
        <w:tc>
          <w:tcPr>
            <w:tcW w:w="3680"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机电一体化技术</w:t>
            </w:r>
          </w:p>
        </w:tc>
        <w:tc>
          <w:tcPr>
            <w:tcW w:w="1299" w:type="dxa"/>
            <w:tcBorders>
              <w:top w:val="nil"/>
              <w:left w:val="nil"/>
              <w:bottom w:val="single" w:color="000000" w:sz="6" w:space="0"/>
              <w:right w:val="single" w:color="000000" w:sz="6" w:space="0"/>
            </w:tcBorders>
            <w:shd w:val="clear" w:color="auto" w:fill="CCCCCC"/>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eastAsia="宋体"/>
                <w:color w:val="3E3E3E"/>
                <w:szCs w:val="24"/>
              </w:rPr>
            </w:pPr>
            <w:r>
              <w:rPr>
                <w:rFonts w:ascii="Times New Roman" w:hAnsi="Times New Roman" w:eastAsia="宋体"/>
                <w:b/>
                <w:color w:val="3E3E3E"/>
                <w:szCs w:val="24"/>
              </w:rPr>
              <w:t>高校名称</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eastAsia="宋体"/>
                <w:color w:val="3E3E3E"/>
                <w:szCs w:val="24"/>
              </w:rPr>
            </w:pPr>
            <w:r>
              <w:rPr>
                <w:rFonts w:ascii="Times New Roman" w:hAnsi="Times New Roman" w:eastAsia="宋体"/>
                <w:b/>
                <w:color w:val="3E3E3E"/>
                <w:szCs w:val="24"/>
              </w:rPr>
              <w:t>专业名称</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eastAsia="宋体"/>
                <w:color w:val="3E3E3E"/>
                <w:szCs w:val="24"/>
              </w:rPr>
            </w:pPr>
            <w:r>
              <w:rPr>
                <w:rFonts w:ascii="Times New Roman" w:hAnsi="Times New Roman" w:eastAsia="宋体"/>
                <w:b/>
                <w:color w:val="3E3E3E"/>
                <w:szCs w:val="24"/>
              </w:rPr>
              <w:t>备注</w:t>
            </w:r>
          </w:p>
        </w:tc>
      </w:tr>
      <w:tr>
        <w:tblPrEx>
          <w:tblLayout w:type="fixed"/>
          <w:tblCellMar>
            <w:top w:w="0" w:type="dxa"/>
            <w:left w:w="0" w:type="dxa"/>
            <w:bottom w:w="0" w:type="dxa"/>
            <w:right w:w="0" w:type="dxa"/>
          </w:tblCellMar>
        </w:tblPrEx>
        <w:trPr>
          <w:trHeight w:val="400" w:hRule="atLeast"/>
          <w:jc w:val="center"/>
        </w:trPr>
        <w:tc>
          <w:tcPr>
            <w:tcW w:w="3357" w:type="dxa"/>
            <w:tcBorders>
              <w:top w:val="nil"/>
              <w:left w:val="single" w:color="000000" w:sz="6" w:space="0"/>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黎明职业大学</w:t>
            </w:r>
          </w:p>
        </w:tc>
        <w:tc>
          <w:tcPr>
            <w:tcW w:w="3680"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机电一体化技术</w:t>
            </w:r>
          </w:p>
        </w:tc>
        <w:tc>
          <w:tcPr>
            <w:tcW w:w="1299" w:type="dxa"/>
            <w:tcBorders>
              <w:top w:val="nil"/>
              <w:left w:val="nil"/>
              <w:bottom w:val="single" w:color="000000" w:sz="6" w:space="0"/>
              <w:right w:val="single" w:color="000000" w:sz="6" w:space="0"/>
            </w:tcBorders>
            <w:shd w:val="clear" w:color="auto" w:fill="AAAAAA"/>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r>
        <w:tblPrEx>
          <w:tblLayout w:type="fixed"/>
          <w:tblCellMar>
            <w:top w:w="0" w:type="dxa"/>
            <w:left w:w="0" w:type="dxa"/>
            <w:bottom w:w="0" w:type="dxa"/>
            <w:right w:w="0" w:type="dxa"/>
          </w:tblCellMar>
        </w:tblPrEx>
        <w:trPr>
          <w:trHeight w:val="414" w:hRule="atLeast"/>
          <w:jc w:val="center"/>
        </w:trPr>
        <w:tc>
          <w:tcPr>
            <w:tcW w:w="3357" w:type="dxa"/>
            <w:tcBorders>
              <w:top w:val="nil"/>
              <w:left w:val="single" w:color="000000" w:sz="6" w:space="0"/>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漳州理工职业学院</w:t>
            </w:r>
          </w:p>
        </w:tc>
        <w:tc>
          <w:tcPr>
            <w:tcW w:w="3680"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印刷媒体技术</w:t>
            </w:r>
          </w:p>
        </w:tc>
        <w:tc>
          <w:tcPr>
            <w:tcW w:w="1299" w:type="dxa"/>
            <w:tcBorders>
              <w:top w:val="nil"/>
              <w:left w:val="nil"/>
              <w:bottom w:val="single" w:color="000000" w:sz="6" w:space="0"/>
              <w:right w:val="single" w:color="000000" w:sz="6" w:space="0"/>
            </w:tcBorders>
            <w:shd w:val="clear" w:color="auto" w:fill="BBBBBB"/>
            <w:tcMar>
              <w:top w:w="15" w:type="dxa"/>
              <w:left w:w="15" w:type="dxa"/>
              <w:bottom w:w="15" w:type="dxa"/>
              <w:right w:w="15" w:type="dxa"/>
            </w:tcMar>
            <w:vAlign w:val="center"/>
          </w:tcPr>
          <w:p>
            <w:pPr>
              <w:pStyle w:val="6"/>
              <w:widowControl/>
              <w:wordWrap w:val="0"/>
              <w:spacing w:beforeAutospacing="0" w:afterAutospacing="0" w:line="384" w:lineRule="atLeast"/>
              <w:jc w:val="center"/>
              <w:textAlignment w:val="center"/>
              <w:rPr>
                <w:rFonts w:ascii="Times New Roman" w:hAnsi="Times New Roman"/>
              </w:rPr>
            </w:pPr>
            <w:r>
              <w:rPr>
                <w:rFonts w:ascii="Times New Roman" w:hAnsi="Times New Roman" w:eastAsia="宋体"/>
                <w:color w:val="3E3E3E"/>
                <w:szCs w:val="24"/>
              </w:rPr>
              <w:t>第二批</w:t>
            </w:r>
          </w:p>
        </w:tc>
      </w:tr>
    </w:tbl>
    <w:p>
      <w:pPr>
        <w:spacing w:line="540" w:lineRule="exact"/>
        <w:ind w:firstLine="560" w:firstLineChars="200"/>
        <w:rPr>
          <w:rFonts w:ascii="Times New Roman" w:hAnsi="Times New Roman" w:cs="Times New Roman"/>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kern w:val="0"/>
          <w:sz w:val="36"/>
          <w:szCs w:val="36"/>
        </w:rPr>
      </w:pPr>
      <w:bookmarkStart w:id="1" w:name="_Toc17261"/>
      <w:r>
        <w:rPr>
          <w:rFonts w:ascii="Times New Roman" w:hAnsi="Times New Roman" w:eastAsia="方正小标宋简体" w:cs="Times New Roman"/>
          <w:kern w:val="0"/>
          <w:sz w:val="36"/>
          <w:szCs w:val="36"/>
        </w:rPr>
        <w:t>我校参加教育部本科教学工作审核评估培训会</w:t>
      </w:r>
      <w:bookmarkEnd w:id="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kern w:val="0"/>
          <w:sz w:val="36"/>
          <w:szCs w:val="36"/>
        </w:rPr>
      </w:pP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3月15日，由教育部高等教育教学评估中心举办的本科教学工作审核评估2018年参评学校工作培训会（第二期）在广州举行。校长刘健、副校长张君诚，学工部、教务处、发展规划处负责人一行6人参加了培训会。</w: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会上，教育部高等教育教学评估中心副主任周爱军围绕高等教育发展新形势、高等教育质量保障新制度以及审核评估工作新要求等三个方面，作了题为“把握新时代要求，做好审核评估工作、全面提高人才培养能力”的主题报告，对新时期的审核评估进行了解读。沈阳化工大学校长李志义从评审专家的角度，对审核范围的框架结构、审核范围的内涵解析、审核范围的设计基础及审核范围的把握要点等方面进行了详细分析和解释。西南交通大学副校长冯晓云以本校参评过程为例，就评建工作的组织、审核评估自评报告的撰写以及评建体会等方面进行了经验介绍。</w: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教育部评估中心信息处杨婧、评估中心院校处孙颖分别对本科教学基本状态数据库指标内涵及分析报告、本科教学工作审核评估管理信息系统进行了介绍和操作培训。</w: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本次培训会内容丰富，讲解深入。通过此次培训，进一步明晰了学校迎评促建工作的具体思路。大家表示返校后，将结合培训内容，扎实做好各项评建准备工作。</w:t>
      </w:r>
    </w:p>
    <w:p>
      <w:pPr>
        <w:spacing w:line="540" w:lineRule="exact"/>
        <w:ind w:firstLine="560" w:firstLineChars="200"/>
        <w:rPr>
          <w:rFonts w:ascii="Times New Roman" w:hAnsi="Times New Roman" w:cs="Times New Roman"/>
          <w:sz w:val="28"/>
          <w:szCs w:val="28"/>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932596"/>
    <w:rsid w:val="000927DE"/>
    <w:rsid w:val="000F3CDE"/>
    <w:rsid w:val="00413389"/>
    <w:rsid w:val="004E234A"/>
    <w:rsid w:val="005A786A"/>
    <w:rsid w:val="00A85B9D"/>
    <w:rsid w:val="00B97CAD"/>
    <w:rsid w:val="00BC67A4"/>
    <w:rsid w:val="00C65296"/>
    <w:rsid w:val="00CA7413"/>
    <w:rsid w:val="00CB5579"/>
    <w:rsid w:val="00FD7376"/>
    <w:rsid w:val="00FE29EB"/>
    <w:rsid w:val="0CE67727"/>
    <w:rsid w:val="112C3C8C"/>
    <w:rsid w:val="12DF0D5B"/>
    <w:rsid w:val="17886AAC"/>
    <w:rsid w:val="1FDA32CE"/>
    <w:rsid w:val="2D6D30A4"/>
    <w:rsid w:val="3F872DAC"/>
    <w:rsid w:val="4AAC5345"/>
    <w:rsid w:val="4AC32311"/>
    <w:rsid w:val="503F74BF"/>
    <w:rsid w:val="5C932596"/>
    <w:rsid w:val="672C4AD0"/>
    <w:rsid w:val="697B01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uiPriority w:val="0"/>
    <w:rPr>
      <w:rFonts w:asciiTheme="minorHAnsi" w:hAnsiTheme="minorHAnsi" w:eastAsiaTheme="minorEastAsia" w:cstheme="minorBidi"/>
      <w:kern w:val="2"/>
      <w:sz w:val="18"/>
      <w:szCs w:val="18"/>
    </w:rPr>
  </w:style>
  <w:style w:type="paragraph" w:customStyle="1" w:styleId="12">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9a44e5-aec0-4b0d-be49-d47cd491903c}"/>
        <w:style w:val=""/>
        <w:category>
          <w:name w:val="常规"/>
          <w:gallery w:val="placeholder"/>
        </w:category>
        <w:types>
          <w:type w:val="bbPlcHdr"/>
        </w:types>
        <w:behaviors>
          <w:behavior w:val="content"/>
        </w:behaviors>
        <w:description w:val=""/>
        <w:guid w:val="{949a44e5-aec0-4b0d-be49-d47cd491903c}"/>
      </w:docPartPr>
      <w:docPartBody>
        <w:p>
          <w:r>
            <w:rPr>
              <w:color w:val="808080"/>
            </w:rPr>
            <w:t>单击此处输入文字。</w:t>
          </w:r>
        </w:p>
      </w:docPartBody>
    </w:docPart>
    <w:docPart>
      <w:docPartPr>
        <w:name w:val="{72b5ceca-c8e9-4446-8aa6-998f373ad047}"/>
        <w:style w:val=""/>
        <w:category>
          <w:name w:val="常规"/>
          <w:gallery w:val="placeholder"/>
        </w:category>
        <w:types>
          <w:type w:val="bbPlcHdr"/>
        </w:types>
        <w:behaviors>
          <w:behavior w:val="content"/>
        </w:behaviors>
        <w:description w:val=""/>
        <w:guid w:val="{72b5ceca-c8e9-4446-8aa6-998f373ad04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1554</Characters>
  <Lines>12</Lines>
  <Paragraphs>3</Paragraphs>
  <ScaleCrop>false</ScaleCrop>
  <LinksUpToDate>false</LinksUpToDate>
  <CharactersWithSpaces>1823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2018-03-29T03:23:00Z</dcterms:created>
  <dc:creator>尽余生</dc:creator>
  <cp:lastModifiedBy>天涯海角</cp:lastModifiedBy>
  <dcterms:modified xsi:type="dcterms:W3CDTF">2018-03-29T07:54:26Z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