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固定资产变动操作流程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0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一、资产调拨（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单位内部使用人和存放地点变动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1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单位内部“使用人变动</w:t>
      </w: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（1）、点击主菜单“资产管理”菜单（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步骤1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点击左边菜单列表的“资产调拨”，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选择“部门内领用人变动”（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步骤2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）， 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点击“使用人变动申请”（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步骤3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），（见下图1），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系统给出“使用人变动申请业务说明”提示，见（下图2），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点击右下角“确定”，进入使用人变动界面。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7960" cy="2332355"/>
            <wp:effectExtent l="0" t="0" r="88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</w:t>
      </w:r>
    </w:p>
    <w:p>
      <w:r>
        <w:drawing>
          <wp:inline distT="0" distB="0" distL="114300" distR="114300">
            <wp:extent cx="5277485" cy="3135630"/>
            <wp:effectExtent l="0" t="0" r="184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2）、生成资产变动单：在列示的资产列表中，勾选资产，可以选择多个资产，此时窗体右下角蓝色圆圈上会显示选择资产的个数，（见下图3），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鼠标移动到“蓝色圆圈”，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系统自动调出“已选择的资产列表”窗口，（见下图4），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点击“生成变动单”按钮，根据提示“确认要生成变动单”，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点击“确定”按钮。（见下图5）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r>
        <w:drawing>
          <wp:inline distT="0" distB="0" distL="114300" distR="114300">
            <wp:extent cx="5272405" cy="215265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图三</w:t>
      </w:r>
    </w:p>
    <w:p/>
    <w:p/>
    <w:p>
      <w:r>
        <w:drawing>
          <wp:inline distT="0" distB="0" distL="114300" distR="114300">
            <wp:extent cx="5267960" cy="2041525"/>
            <wp:effectExtent l="0" t="0" r="889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图四</w:t>
      </w:r>
    </w:p>
    <w:p/>
    <w:p>
      <w:pPr>
        <w:jc w:val="center"/>
      </w:pPr>
      <w:r>
        <w:drawing>
          <wp:inline distT="0" distB="0" distL="114300" distR="114300">
            <wp:extent cx="2024380" cy="1205230"/>
            <wp:effectExtent l="0" t="0" r="1397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图五</w:t>
      </w:r>
    </w:p>
    <w:p>
      <w:pPr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（3）编辑使用人变动单信息：  选择变动后的使用人（步骤1），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输入变动原因（步骤2），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点击“保存”按钮（步骤3），见下图6：</w:t>
      </w:r>
    </w:p>
    <w:p>
      <w:pPr>
        <w:jc w:val="both"/>
      </w:pPr>
      <w:r>
        <w:drawing>
          <wp:inline distT="0" distB="0" distL="114300" distR="114300">
            <wp:extent cx="5269230" cy="2667635"/>
            <wp:effectExtent l="0" t="0" r="762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图6</w:t>
      </w:r>
    </w:p>
    <w:p>
      <w:pPr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（4）提交变动单：勾选待提交的变动单（步骤1），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点击右边的“提交”按钮（步骤2），提交“部门内使用人变动单”，到资产管理审核。见下图7：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1770" cy="1309370"/>
            <wp:effectExtent l="0" t="0" r="508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4"/>
          <w:szCs w:val="24"/>
          <w:lang w:val="en-US" w:eastAsia="zh-CN"/>
        </w:rPr>
        <w:t>图7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2.单位内存放地点变动：（</w:t>
      </w:r>
      <w:r>
        <w:rPr>
          <w:rFonts w:hint="eastAsia"/>
          <w:color w:val="FF0000"/>
          <w:sz w:val="28"/>
          <w:szCs w:val="28"/>
          <w:lang w:val="en-US" w:eastAsia="zh-CN"/>
        </w:rPr>
        <w:t>此操作只能部门管理员操作</w:t>
      </w:r>
      <w:r>
        <w:rPr>
          <w:rFonts w:hint="eastAsia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（1）、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点击主菜单“资产管理”菜单，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点击左边菜单列表的“资产调拨”（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步骤1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选择“存放地点变动”（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步骤2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点击“存放地点变动申请”（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步骤3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），（见下图8），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系统给出“存放地点变动业务说明”提示，见（下图9），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点击右下角“确定”，进入存放地点变动界面。</w:t>
      </w:r>
    </w:p>
    <w:p>
      <w:pPr>
        <w:jc w:val="both"/>
        <w:rPr>
          <w:rFonts w:hint="default"/>
          <w:sz w:val="24"/>
          <w:szCs w:val="24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71770" cy="2257425"/>
            <wp:effectExtent l="0" t="0" r="508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图8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76215" cy="3450590"/>
            <wp:effectExtent l="0" t="0" r="63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（2）、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生成资产存放地点变动单：在列示的资产列表中，勾选资产，可以选择多个资产，此时窗体右下角蓝色圆圈上会显示选择资产的个数，（见下图10），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鼠标移动到“蓝色圆圈”，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系统自动调出“已选择的资产列表”窗口，（见下图11），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点击“生成变动单”按钮，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根据提示“确认要生成变动单”，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点击“确定”按钮。（见下图12）</w:t>
      </w:r>
    </w:p>
    <w:p>
      <w:pPr>
        <w:jc w:val="center"/>
      </w:pPr>
      <w:r>
        <w:drawing>
          <wp:inline distT="0" distB="0" distL="114300" distR="114300">
            <wp:extent cx="5268595" cy="2164080"/>
            <wp:effectExtent l="0" t="0" r="825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图10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3040" cy="2460625"/>
            <wp:effectExtent l="0" t="0" r="381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图11</w:t>
      </w:r>
    </w:p>
    <w:p>
      <w:pPr>
        <w:jc w:val="center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024380" cy="1205230"/>
            <wp:effectExtent l="0" t="0" r="1397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图12</w:t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（3）编辑变动单信息：  选择变动后的存放地点（步骤1），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输入变动原因（步骤2），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点击“保存”按钮（步骤3），见下图13：</w:t>
      </w:r>
    </w:p>
    <w:p>
      <w:pPr>
        <w:jc w:val="center"/>
      </w:pPr>
      <w:r>
        <w:drawing>
          <wp:inline distT="0" distB="0" distL="114300" distR="114300">
            <wp:extent cx="5267325" cy="2311400"/>
            <wp:effectExtent l="0" t="0" r="952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图13</w:t>
      </w:r>
    </w:p>
    <w:p>
      <w:pPr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（4）复核变动单：勾选待提交的变动单，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点击右边的“复核”按钮，变动单复核完成。见下图14：</w:t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5268595" cy="167640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图14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二、资产变动（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不同使用单位间的变动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固定资产在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不同使用单位间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的变动，使用“资产变动”功能，“资产变动”只能对已经通过财务审核，正式进入固定资产账户的资产数据进行变动。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资产变动分为：资产项目变动（使用人、使用单位、资产现状、使用方向、存放地点）、资产价值变动、附件增加、资产分类变动。如下图15：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922520" cy="3122930"/>
            <wp:effectExtent l="0" t="0" r="1143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图15</w:t>
      </w:r>
    </w:p>
    <w:p>
      <w:pPr>
        <w:jc w:val="both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1.资产项目变动：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（1）要对固定资产项目做变动，选择左边菜单“资产变动”-“项目变动”（步骤1），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选择要变动的固定资产所在单位（步骤2），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点击“项目变动申请”按钮（步骤3），如下图16。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在打开的“项目变动业务说明”窗体，点击“确定”按钮。见下图17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57775" cy="2493010"/>
            <wp:effectExtent l="0" t="0" r="952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图16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4996180" cy="3303905"/>
            <wp:effectExtent l="0" t="0" r="1397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图17</w:t>
      </w:r>
    </w:p>
    <w:p>
      <w:pPr>
        <w:jc w:val="both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（2）编辑项目变动单：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在“请选择归口人员（大类）”下拉框中选择归口管理人员（步骤1）（见下图18）</w:t>
      </w:r>
    </w:p>
    <w:p>
      <w:pPr>
        <w:jc w:val="both"/>
      </w:pPr>
      <w:r>
        <w:drawing>
          <wp:inline distT="0" distB="0" distL="114300" distR="114300">
            <wp:extent cx="5271770" cy="2610485"/>
            <wp:effectExtent l="0" t="0" r="5080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图18</w:t>
      </w:r>
    </w:p>
    <w:p>
      <w:pPr>
        <w:jc w:val="both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系统列出所选单位的名下资产清单，见下图19，打勾选择要变动的资产（步骤2），列表右下角蓝色圆圈中会同步显示已选择的资产条数，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鼠标移至右下角蓝色圆圈（步骤3），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系统自动弹出“已选择资产列表”窗口，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点击“生成变动单”。见下图20-图21：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6850" cy="32099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图19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2989580" cy="1838960"/>
            <wp:effectExtent l="0" t="0" r="127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19630" cy="1281430"/>
            <wp:effectExtent l="0" t="0" r="13970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0" w:firstLineChars="10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图20                                   图21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（3）编辑变动单信息：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在“编辑变动单信息”窗口中，选择对应的变动后的项目值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使用人、使用单位、资产现状、使用方向、存放地点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/>
          <w:sz w:val="24"/>
          <w:szCs w:val="24"/>
          <w:lang w:val="en-US" w:eastAsia="zh-CN"/>
        </w:rPr>
        <w:t>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输入变动原因（步骤2），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点击“保存”（步骤3），在变动单位保存成功后，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点击“提交”按钮（步骤4）提交该变动单。见下图22</w:t>
      </w:r>
    </w:p>
    <w:p>
      <w:pPr>
        <w:jc w:val="center"/>
      </w:pPr>
      <w:bookmarkStart w:id="0" w:name="_GoBack"/>
      <w:r>
        <w:drawing>
          <wp:inline distT="0" distB="0" distL="114300" distR="114300">
            <wp:extent cx="5267960" cy="3094990"/>
            <wp:effectExtent l="0" t="0" r="889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图22</w:t>
      </w:r>
    </w:p>
    <w:p>
      <w:pPr>
        <w:jc w:val="both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（4）提交变动单：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变动的提交，可以在“编辑变动单信息”窗口中，保存后直接点击“提交”按钮提交，或返回变动列表，打勾选择相应的变动单，点出“提交”按钮，提交选定的资产变动单据。下图23</w:t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215" cy="1877695"/>
            <wp:effectExtent l="0" t="0" r="63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图23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（5）打印资产变动单：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从本部门调拨到另外部门的“使用/管理部门”“使用人”“存放地点”变动</w:t>
      </w:r>
      <w:r>
        <w:rPr>
          <w:rFonts w:hint="eastAsia"/>
          <w:sz w:val="24"/>
          <w:szCs w:val="24"/>
          <w:lang w:val="en-US" w:eastAsia="zh-CN"/>
        </w:rPr>
        <w:t>经归口审核后，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点击“打印项目变动单”（见下图24），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打印出《三明学院资产变动报告单》</w:t>
      </w:r>
      <w:r>
        <w:rPr>
          <w:rFonts w:hint="eastAsia"/>
          <w:sz w:val="24"/>
          <w:szCs w:val="24"/>
          <w:lang w:val="en-US" w:eastAsia="zh-CN"/>
        </w:rPr>
        <w:t>提交国资处。</w:t>
      </w:r>
    </w:p>
    <w:p>
      <w:pPr>
        <w:widowControl/>
        <w:jc w:val="center"/>
      </w:pPr>
      <w:r>
        <w:drawing>
          <wp:inline distT="0" distB="0" distL="114300" distR="114300">
            <wp:extent cx="4787900" cy="1678305"/>
            <wp:effectExtent l="0" t="0" r="12700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图24</w:t>
      </w:r>
    </w:p>
    <w:p>
      <w:pPr>
        <w:widowControl/>
        <w:jc w:val="center"/>
      </w:pPr>
      <w:r>
        <w:drawing>
          <wp:inline distT="0" distB="0" distL="114300" distR="114300">
            <wp:extent cx="4145280" cy="3568065"/>
            <wp:effectExtent l="0" t="0" r="7620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jc w:val="both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2.单价变动：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（1）增加单价变动单：要对固定资产金额（单价）做变动，选择左边菜单“资产变动”-“单价变动”（步骤1），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选择要变动的固定资产所在单位（步骤2），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点击“单价变动申请”按钮（步骤3），如下图25，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在打开的“单价变动业务说明”窗体，点击“确定”按钮。见下图26</w:t>
      </w:r>
    </w:p>
    <w:p>
      <w:pPr>
        <w:widowControl/>
        <w:jc w:val="center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widowControl/>
        <w:jc w:val="both"/>
      </w:pPr>
      <w:r>
        <w:drawing>
          <wp:inline distT="0" distB="0" distL="114300" distR="114300">
            <wp:extent cx="5269230" cy="1807210"/>
            <wp:effectExtent l="0" t="0" r="762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图25</w:t>
      </w:r>
    </w:p>
    <w:p>
      <w:pPr>
        <w:widowControl/>
        <w:jc w:val="both"/>
        <w:rPr>
          <w:rFonts w:hint="default"/>
          <w:lang w:val="en-US" w:eastAsia="zh-CN"/>
        </w:rPr>
      </w:pPr>
    </w:p>
    <w:p>
      <w:pPr>
        <w:widowControl/>
        <w:jc w:val="center"/>
        <w:outlineLvl w:val="9"/>
      </w:pPr>
      <w:r>
        <w:drawing>
          <wp:inline distT="0" distB="0" distL="114300" distR="114300">
            <wp:extent cx="4321175" cy="2632710"/>
            <wp:effectExtent l="0" t="0" r="3175" b="152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（2）编辑单价变动单：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在“请选择归口人员（大类）”下拉框中选择归口管理人员（步骤1）（见下图27）,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系统列出可进行操作的资产列表，勾选要进行金额变动的资产（步骤2），列表右下角蓝色圆圈中会同步显示已选择的资产条数，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鼠标移至右下角蓝色圆圈（步骤3），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系统自动弹出“已选择资产列表”窗口（见下图28），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点击“生成变动单”。见下图20-图21：</w:t>
      </w:r>
    </w:p>
    <w:p>
      <w:pPr>
        <w:widowControl/>
        <w:jc w:val="both"/>
        <w:rPr>
          <w:rFonts w:hint="default"/>
          <w:lang w:val="en-US" w:eastAsia="zh-CN"/>
        </w:rPr>
      </w:pPr>
    </w:p>
    <w:p>
      <w:pPr>
        <w:widowControl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5580" cy="2972435"/>
            <wp:effectExtent l="0" t="0" r="127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图27</w:t>
      </w:r>
    </w:p>
    <w:p>
      <w:pPr>
        <w:widowControl/>
        <w:jc w:val="both"/>
      </w:pPr>
      <w:r>
        <w:drawing>
          <wp:inline distT="0" distB="0" distL="114300" distR="114300">
            <wp:extent cx="5269865" cy="3023870"/>
            <wp:effectExtent l="0" t="0" r="6985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图28</w:t>
      </w:r>
    </w:p>
    <w:p>
      <w:pPr>
        <w:widowControl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（3）编辑单价变动单信息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输入“变动金额”（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注意：此处输入资产要增加或减少的金额，如果金额增加，则输入增加部分；如果资产金额减少，则此处输入减少的部分，用负号表示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）。输入“变动原因”，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点击“保存”，变动单信息保存后，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点击“提交”，提交到归口部门审核及财务审核。见下图29：</w:t>
      </w:r>
    </w:p>
    <w:p>
      <w:pPr>
        <w:widowControl/>
        <w:jc w:val="both"/>
      </w:pPr>
      <w:r>
        <w:drawing>
          <wp:inline distT="0" distB="0" distL="114300" distR="114300">
            <wp:extent cx="5272405" cy="2411730"/>
            <wp:effectExtent l="0" t="0" r="4445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图29</w:t>
      </w:r>
    </w:p>
    <w:p>
      <w:pPr>
        <w:widowControl/>
        <w:jc w:val="both"/>
        <w:rPr>
          <w:rFonts w:hint="default"/>
          <w:lang w:val="en-US" w:eastAsia="zh-CN"/>
        </w:rPr>
      </w:pPr>
    </w:p>
    <w:p>
      <w:pPr>
        <w:widowControl/>
        <w:jc w:val="both"/>
        <w:rPr>
          <w:rFonts w:hint="default"/>
          <w:lang w:val="en-US" w:eastAsia="zh-CN"/>
        </w:rPr>
      </w:pPr>
    </w:p>
    <w:p>
      <w:pPr>
        <w:widowControl/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单价变动单的提交也可以通过“单价变动”列表选中提交，见下图30：</w:t>
      </w:r>
    </w:p>
    <w:p>
      <w:pPr>
        <w:widowControl/>
        <w:jc w:val="center"/>
        <w:rPr>
          <w:rFonts w:hint="default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7485" cy="1710055"/>
            <wp:effectExtent l="0" t="0" r="18415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图30</w:t>
      </w:r>
    </w:p>
    <w:p>
      <w:pPr>
        <w:widowControl/>
        <w:jc w:val="both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3.附件增加：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“附件增加”模块用于在资产通过审核后，要增加附属设备时，通过此模块进行操作，“附件增加”存在资产原金额增加和仅新增附件，资产原金额保持不变两种情况，具体操作步骤如下：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点击“资产变动”--“附件增加”（步骤1）， 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在单位列表中选择资产所在单位（部门），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点击“附件增加申请”按钮（步骤3），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在打开的“附件增加业务说明”窗口，点击“确定”按钮（见下图32）</w:t>
      </w:r>
    </w:p>
    <w:p>
      <w:pPr>
        <w:widowControl/>
        <w:jc w:val="both"/>
      </w:pPr>
      <w:r>
        <w:drawing>
          <wp:inline distT="0" distB="0" distL="114300" distR="114300">
            <wp:extent cx="5271770" cy="1715135"/>
            <wp:effectExtent l="0" t="0" r="5080" b="184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图31</w:t>
      </w:r>
    </w:p>
    <w:p>
      <w:pPr>
        <w:widowControl/>
        <w:jc w:val="both"/>
      </w:pPr>
    </w:p>
    <w:p>
      <w:pPr>
        <w:widowControl/>
        <w:jc w:val="both"/>
      </w:pPr>
      <w:r>
        <w:drawing>
          <wp:inline distT="0" distB="0" distL="114300" distR="114300">
            <wp:extent cx="5277485" cy="3468370"/>
            <wp:effectExtent l="0" t="0" r="18415" b="177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图32</w:t>
      </w:r>
    </w:p>
    <w:p>
      <w:pPr>
        <w:widowControl/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在“选择归口人员”下拉框选择归口管理人员，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系统列出可进行操作的资产列表，勾选要进行附件增加的资产，列表右下角蓝色圆圈中会同步显示已选择的资产条数，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鼠标移至右下角蓝色圆圈（见下图33），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系统自动弹出“已选择资产列表”窗口，点击“生成变动单”。见下图34，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在弹出的“确认要生成附件增加单”窗口点击“确定”（见</w:t>
      </w:r>
      <w:r>
        <w:rPr>
          <w:rFonts w:hint="eastAsia"/>
          <w:sz w:val="24"/>
          <w:szCs w:val="24"/>
          <w:lang w:val="en-US" w:eastAsia="zh-CN"/>
        </w:rPr>
        <w:t>图35）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，打开附件增加窗口，见</w:t>
      </w:r>
      <w:r>
        <w:rPr>
          <w:rFonts w:hint="eastAsia"/>
          <w:sz w:val="24"/>
          <w:szCs w:val="24"/>
          <w:lang w:val="en-US" w:eastAsia="zh-CN"/>
        </w:rPr>
        <w:t>图36。</w:t>
      </w:r>
    </w:p>
    <w:p>
      <w:pPr>
        <w:widowControl/>
        <w:jc w:val="both"/>
      </w:pPr>
      <w:r>
        <w:drawing>
          <wp:inline distT="0" distB="0" distL="114300" distR="114300">
            <wp:extent cx="5273040" cy="2733040"/>
            <wp:effectExtent l="0" t="0" r="3810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图33</w:t>
      </w:r>
    </w:p>
    <w:p>
      <w:pPr>
        <w:widowControl/>
        <w:jc w:val="both"/>
      </w:pPr>
    </w:p>
    <w:p>
      <w:pPr>
        <w:widowControl/>
        <w:jc w:val="left"/>
      </w:pPr>
      <w:r>
        <w:drawing>
          <wp:inline distT="0" distB="0" distL="114300" distR="114300">
            <wp:extent cx="2718435" cy="1770380"/>
            <wp:effectExtent l="0" t="0" r="5715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00580" cy="1233805"/>
            <wp:effectExtent l="0" t="0" r="1397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680" w:firstLineChars="80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图34                                     图35</w:t>
      </w:r>
    </w:p>
    <w:p>
      <w:pPr>
        <w:widowControl/>
        <w:jc w:val="both"/>
      </w:pPr>
    </w:p>
    <w:p>
      <w:pPr>
        <w:widowControl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  在打开的“编辑变动单信息”界面，见下图36，点击“添加附件”按钮，打开附件信息窗口，输入附件相关信息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注意：</w:t>
      </w:r>
      <w:r>
        <w:rPr>
          <w:rFonts w:hint="default" w:ascii="Calibri" w:hAnsi="Calibri" w:cs="Calibri"/>
          <w:sz w:val="24"/>
          <w:szCs w:val="24"/>
          <w:lang w:val="en-US" w:eastAsia="zh-CN"/>
        </w:rPr>
        <w:t>①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“是否计入主体”：</w:t>
      </w:r>
      <w:r>
        <w:rPr>
          <w:rFonts w:hint="eastAsia" w:ascii="Calibri" w:hAnsi="Calibri" w:cs="Calibri"/>
          <w:color w:val="FF0000"/>
          <w:sz w:val="24"/>
          <w:szCs w:val="24"/>
          <w:lang w:val="en-US" w:eastAsia="zh-CN"/>
        </w:rPr>
        <w:t>选择“是”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，新增的附件金额计入资产总金额；</w:t>
      </w:r>
      <w:r>
        <w:rPr>
          <w:rFonts w:hint="eastAsia" w:ascii="Calibri" w:hAnsi="Calibri" w:cs="Calibri"/>
          <w:color w:val="FF0000"/>
          <w:sz w:val="24"/>
          <w:szCs w:val="24"/>
          <w:lang w:val="en-US" w:eastAsia="zh-CN"/>
        </w:rPr>
        <w:t>选择“否”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，新增的附件金额不计入资产总额。</w:t>
      </w:r>
      <w:r>
        <w:rPr>
          <w:rFonts w:hint="default" w:ascii="Calibri" w:hAnsi="Calibri" w:cs="Calibri"/>
          <w:sz w:val="24"/>
          <w:szCs w:val="24"/>
          <w:lang w:val="en-US" w:eastAsia="zh-CN"/>
        </w:rPr>
        <w:t>②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标“*”号的必填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点击“保存”按钮，附件信息显示在当前资产界面，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可点击“修改”、“删除”按钮对附件信息进行修改或删除操作，见下</w:t>
      </w:r>
      <w:r>
        <w:rPr>
          <w:rFonts w:hint="eastAsia"/>
          <w:sz w:val="24"/>
          <w:szCs w:val="24"/>
          <w:lang w:val="en-US" w:eastAsia="zh-CN"/>
        </w:rPr>
        <w:t>图38。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点击右上角“提交”按钮提交当前附件新增申请单（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见下</w:t>
      </w:r>
      <w:r>
        <w:rPr>
          <w:rFonts w:hint="eastAsia"/>
          <w:sz w:val="24"/>
          <w:szCs w:val="24"/>
          <w:lang w:val="en-US" w:eastAsia="zh-CN"/>
        </w:rPr>
        <w:t>图39）；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或点击“返回”按钮，在“附件增加申请单”列表中选择要提交的单据，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点击“提交”按钮（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下</w:t>
      </w:r>
      <w:r>
        <w:rPr>
          <w:rFonts w:hint="eastAsia"/>
          <w:sz w:val="24"/>
          <w:szCs w:val="24"/>
          <w:lang w:val="en-US" w:eastAsia="zh-CN"/>
        </w:rPr>
        <w:t>图40），提交当前附件新增申请单，送归口部门入财务部门审核。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="宋体"/>
          <w:sz w:val="24"/>
          <w:szCs w:val="24"/>
          <w:lang w:val="en-US" w:eastAsia="zh-CN"/>
        </w:rPr>
      </w:pPr>
    </w:p>
    <w:p>
      <w:pPr>
        <w:widowControl/>
        <w:jc w:val="both"/>
      </w:pPr>
      <w:r>
        <w:drawing>
          <wp:inline distT="0" distB="0" distL="114300" distR="114300">
            <wp:extent cx="5270500" cy="2548890"/>
            <wp:effectExtent l="0" t="0" r="635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  <w:lang w:val="en-US" w:eastAsia="zh-CN"/>
        </w:rPr>
        <w:t>图36</w:t>
      </w:r>
    </w:p>
    <w:p>
      <w:pPr>
        <w:widowControl/>
        <w:jc w:val="both"/>
      </w:pPr>
    </w:p>
    <w:p>
      <w:pPr>
        <w:widowControl/>
        <w:jc w:val="center"/>
      </w:pPr>
      <w:r>
        <w:drawing>
          <wp:inline distT="0" distB="0" distL="114300" distR="114300">
            <wp:extent cx="2790190" cy="3550920"/>
            <wp:effectExtent l="0" t="0" r="10160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  <w:lang w:val="en-US" w:eastAsia="zh-CN"/>
        </w:rPr>
        <w:t>图37</w:t>
      </w:r>
    </w:p>
    <w:p>
      <w:pPr>
        <w:widowControl/>
        <w:jc w:val="both"/>
      </w:pPr>
    </w:p>
    <w:p>
      <w:pPr>
        <w:widowControl/>
        <w:jc w:val="both"/>
      </w:pPr>
      <w:r>
        <w:drawing>
          <wp:inline distT="0" distB="0" distL="114300" distR="114300">
            <wp:extent cx="5272405" cy="1049655"/>
            <wp:effectExtent l="0" t="0" r="4445" b="171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图38</w:t>
      </w:r>
    </w:p>
    <w:p>
      <w:pPr>
        <w:widowControl/>
        <w:jc w:val="both"/>
      </w:pPr>
      <w:r>
        <w:drawing>
          <wp:inline distT="0" distB="0" distL="114300" distR="114300">
            <wp:extent cx="5275580" cy="1852930"/>
            <wp:effectExtent l="0" t="0" r="1270" b="139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图39</w:t>
      </w:r>
    </w:p>
    <w:p>
      <w:pPr>
        <w:widowControl/>
        <w:jc w:val="both"/>
      </w:pPr>
    </w:p>
    <w:p>
      <w:pPr>
        <w:widowControl/>
        <w:jc w:val="both"/>
      </w:pPr>
      <w:r>
        <w:drawing>
          <wp:inline distT="0" distB="0" distL="114300" distR="114300">
            <wp:extent cx="5269865" cy="1645920"/>
            <wp:effectExtent l="0" t="0" r="6985" b="114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图40</w:t>
      </w:r>
    </w:p>
    <w:p>
      <w:pPr>
        <w:widowControl/>
        <w:jc w:val="both"/>
      </w:pPr>
    </w:p>
    <w:p>
      <w:pPr>
        <w:widowControl/>
        <w:jc w:val="both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4.资产分类变动：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（1）新增分类变动申请单：</w:t>
      </w:r>
      <w:r>
        <w:rPr>
          <w:rFonts w:hint="eastAsia"/>
          <w:sz w:val="24"/>
          <w:szCs w:val="24"/>
          <w:lang w:val="en-US" w:eastAsia="zh-CN"/>
        </w:rPr>
        <w:t>点击“资产变动”--“分类变动”，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在单位列表中选择资产所在单位（部门），点击“分类变动申请”按钮（见下图41），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在打开的“分类变动业务说明”窗口，点击“确定”按钮（见下图42）</w:t>
      </w:r>
    </w:p>
    <w:p>
      <w:pPr>
        <w:widowControl/>
        <w:jc w:val="both"/>
        <w:rPr>
          <w:rFonts w:hint="default"/>
          <w:lang w:val="en-US" w:eastAsia="zh-CN"/>
        </w:rPr>
      </w:pPr>
    </w:p>
    <w:p>
      <w:pPr>
        <w:widowControl/>
        <w:jc w:val="both"/>
      </w:pPr>
      <w:r>
        <w:drawing>
          <wp:inline distT="0" distB="0" distL="114300" distR="114300">
            <wp:extent cx="5268595" cy="1829435"/>
            <wp:effectExtent l="0" t="0" r="8255" b="184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图41</w:t>
      </w:r>
    </w:p>
    <w:p>
      <w:pPr>
        <w:widowControl/>
        <w:jc w:val="center"/>
      </w:pPr>
      <w:r>
        <w:drawing>
          <wp:inline distT="0" distB="0" distL="114300" distR="114300">
            <wp:extent cx="3812540" cy="2500630"/>
            <wp:effectExtent l="0" t="0" r="1651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图42</w:t>
      </w:r>
    </w:p>
    <w:p>
      <w:pPr>
        <w:widowControl/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在“选择归口人员”下拉框选择归口管理人员（步骤1），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系统列出可进行操作的资产清单，左边勾选要进行资产分类变动的资产，列表右下角蓝色圆圈中会同步显示已选择的资产条数（步骤3） 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鼠标移至右下角蓝色圆圈（见下图43），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系统自动弹出“已选择资产列表”窗口，点击“生成变动单”。见下图44，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在弹出的“确认要生成附件增加单”窗口点击“确定”（见</w:t>
      </w:r>
      <w:r>
        <w:rPr>
          <w:rFonts w:hint="eastAsia"/>
          <w:sz w:val="24"/>
          <w:szCs w:val="24"/>
          <w:lang w:val="en-US" w:eastAsia="zh-CN"/>
        </w:rPr>
        <w:t>图45）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，打开资产分类变动窗口，见</w:t>
      </w:r>
      <w:r>
        <w:rPr>
          <w:rFonts w:hint="eastAsia"/>
          <w:sz w:val="24"/>
          <w:szCs w:val="24"/>
          <w:lang w:val="en-US" w:eastAsia="zh-CN"/>
        </w:rPr>
        <w:t>图46。</w:t>
      </w:r>
    </w:p>
    <w:p>
      <w:pPr>
        <w:widowControl/>
        <w:jc w:val="center"/>
      </w:pPr>
      <w:r>
        <w:drawing>
          <wp:inline distT="0" distB="0" distL="114300" distR="114300">
            <wp:extent cx="5276850" cy="28384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图43</w:t>
      </w:r>
    </w:p>
    <w:p>
      <w:pPr>
        <w:widowControl/>
        <w:jc w:val="both"/>
      </w:pPr>
    </w:p>
    <w:p>
      <w:pPr>
        <w:widowControl/>
        <w:jc w:val="center"/>
      </w:pPr>
      <w:r>
        <w:drawing>
          <wp:inline distT="0" distB="0" distL="114300" distR="114300">
            <wp:extent cx="2755265" cy="1788795"/>
            <wp:effectExtent l="0" t="0" r="6985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8205" cy="1338580"/>
            <wp:effectExtent l="0" t="0" r="4445" b="139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2100" w:firstLineChars="100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图44                                 图45</w:t>
      </w:r>
    </w:p>
    <w:p>
      <w:pPr>
        <w:widowControl/>
        <w:jc w:val="both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在“编辑变动单信息”窗口，选择新的资产分类代码，输入新分类的折旧年限（以月为单位）、选择折旧方法以及变动原因，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点击右上角“保存”按钮，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点击“提交”按钮提交该分类变动单。见下图46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或在保存后点击“返回”按钮，回到资产分类变动单列表， 逐个提交或选择多个分类变动单，点击“提交”按钮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</w:t>
      </w:r>
      <w:r>
        <w:rPr>
          <w:rFonts w:hint="eastAsia"/>
          <w:sz w:val="24"/>
          <w:szCs w:val="24"/>
          <w:lang w:val="en-US" w:eastAsia="zh-CN"/>
        </w:rPr>
        <w:t>见下图47，分类变动单提交后经归口审核及财务审核后生效。</w:t>
      </w:r>
    </w:p>
    <w:p>
      <w:pPr>
        <w:widowControl/>
        <w:jc w:val="both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269865" cy="2311400"/>
            <wp:effectExtent l="0" t="0" r="6985" b="1270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  <w:lang w:val="en-US" w:eastAsia="zh-CN"/>
        </w:rPr>
        <w:t>图46</w:t>
      </w:r>
    </w:p>
    <w:p>
      <w:pPr>
        <w:widowControl/>
        <w:jc w:val="both"/>
      </w:pPr>
    </w:p>
    <w:p>
      <w:pPr>
        <w:widowControl/>
        <w:jc w:val="both"/>
      </w:pPr>
      <w:r>
        <w:drawing>
          <wp:inline distT="0" distB="0" distL="114300" distR="114300">
            <wp:extent cx="5269865" cy="1540510"/>
            <wp:effectExtent l="0" t="0" r="6985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图47</w:t>
      </w:r>
    </w:p>
    <w:sectPr>
      <w:footerReference r:id="rId3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1</w:t>
    </w:r>
    <w:r>
      <w:rPr>
        <w:rStyle w:val="9"/>
      </w:rP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0NmI3NjQ1YTQxYzM4NzdkMWVhMDRlMzhkMDJkMDEifQ=="/>
  </w:docVars>
  <w:rsids>
    <w:rsidRoot w:val="00713305"/>
    <w:rsid w:val="000070B6"/>
    <w:rsid w:val="00007E79"/>
    <w:rsid w:val="00043463"/>
    <w:rsid w:val="00051784"/>
    <w:rsid w:val="00052396"/>
    <w:rsid w:val="0009171F"/>
    <w:rsid w:val="00092554"/>
    <w:rsid w:val="00102A5B"/>
    <w:rsid w:val="00107E4E"/>
    <w:rsid w:val="0018521E"/>
    <w:rsid w:val="001B6BE7"/>
    <w:rsid w:val="001D16A2"/>
    <w:rsid w:val="00200FC8"/>
    <w:rsid w:val="00201084"/>
    <w:rsid w:val="0025305A"/>
    <w:rsid w:val="0026684B"/>
    <w:rsid w:val="00295A6E"/>
    <w:rsid w:val="002A06E2"/>
    <w:rsid w:val="002F6B0D"/>
    <w:rsid w:val="00400A96"/>
    <w:rsid w:val="004C48F7"/>
    <w:rsid w:val="00523070"/>
    <w:rsid w:val="00526981"/>
    <w:rsid w:val="00550746"/>
    <w:rsid w:val="005508B1"/>
    <w:rsid w:val="00593E10"/>
    <w:rsid w:val="005D58BF"/>
    <w:rsid w:val="006232E5"/>
    <w:rsid w:val="00652D88"/>
    <w:rsid w:val="00713305"/>
    <w:rsid w:val="00726A59"/>
    <w:rsid w:val="00727787"/>
    <w:rsid w:val="00756438"/>
    <w:rsid w:val="007B5FFB"/>
    <w:rsid w:val="007C6939"/>
    <w:rsid w:val="007E4603"/>
    <w:rsid w:val="00855585"/>
    <w:rsid w:val="008E3AED"/>
    <w:rsid w:val="00913115"/>
    <w:rsid w:val="00975BAC"/>
    <w:rsid w:val="00AC6664"/>
    <w:rsid w:val="00B1148B"/>
    <w:rsid w:val="00B2377B"/>
    <w:rsid w:val="00B2437A"/>
    <w:rsid w:val="00B979CB"/>
    <w:rsid w:val="00BB210B"/>
    <w:rsid w:val="00BC45CD"/>
    <w:rsid w:val="00C50307"/>
    <w:rsid w:val="00C70DDE"/>
    <w:rsid w:val="00CB0D01"/>
    <w:rsid w:val="00D8462C"/>
    <w:rsid w:val="00DF3D13"/>
    <w:rsid w:val="00E41EAD"/>
    <w:rsid w:val="00E90885"/>
    <w:rsid w:val="00EE2557"/>
    <w:rsid w:val="00FA4494"/>
    <w:rsid w:val="00FA70D0"/>
    <w:rsid w:val="00FB4783"/>
    <w:rsid w:val="02021905"/>
    <w:rsid w:val="041E4309"/>
    <w:rsid w:val="04A2045D"/>
    <w:rsid w:val="0708176C"/>
    <w:rsid w:val="08C305F9"/>
    <w:rsid w:val="08DF0F44"/>
    <w:rsid w:val="0C0369A6"/>
    <w:rsid w:val="0CD143AE"/>
    <w:rsid w:val="10EA1EE2"/>
    <w:rsid w:val="1150760B"/>
    <w:rsid w:val="11D652A1"/>
    <w:rsid w:val="1576596C"/>
    <w:rsid w:val="16094019"/>
    <w:rsid w:val="186D6BCF"/>
    <w:rsid w:val="1A613431"/>
    <w:rsid w:val="1B670199"/>
    <w:rsid w:val="1B823653"/>
    <w:rsid w:val="1B8B78DA"/>
    <w:rsid w:val="1BAD7861"/>
    <w:rsid w:val="1C274DE4"/>
    <w:rsid w:val="1C652648"/>
    <w:rsid w:val="2557617D"/>
    <w:rsid w:val="25754019"/>
    <w:rsid w:val="267352C9"/>
    <w:rsid w:val="29D866DD"/>
    <w:rsid w:val="29DD71B3"/>
    <w:rsid w:val="2B5976BB"/>
    <w:rsid w:val="2D5268BE"/>
    <w:rsid w:val="2E640BFE"/>
    <w:rsid w:val="2F932167"/>
    <w:rsid w:val="30BA3228"/>
    <w:rsid w:val="349B3370"/>
    <w:rsid w:val="36E346A5"/>
    <w:rsid w:val="37FB12ED"/>
    <w:rsid w:val="3A145757"/>
    <w:rsid w:val="3B7A1B25"/>
    <w:rsid w:val="3E344402"/>
    <w:rsid w:val="3E8F34F6"/>
    <w:rsid w:val="3F7B1DD4"/>
    <w:rsid w:val="3FEA48D8"/>
    <w:rsid w:val="428B4876"/>
    <w:rsid w:val="44332C7D"/>
    <w:rsid w:val="45F6020C"/>
    <w:rsid w:val="47376F28"/>
    <w:rsid w:val="48F055E1"/>
    <w:rsid w:val="4A630034"/>
    <w:rsid w:val="51EB11CD"/>
    <w:rsid w:val="56701B0F"/>
    <w:rsid w:val="579F267E"/>
    <w:rsid w:val="5C657C3C"/>
    <w:rsid w:val="5D430E95"/>
    <w:rsid w:val="5E10464A"/>
    <w:rsid w:val="5E4838C6"/>
    <w:rsid w:val="5E9F15F0"/>
    <w:rsid w:val="62A414BE"/>
    <w:rsid w:val="64155AA4"/>
    <w:rsid w:val="66104CAF"/>
    <w:rsid w:val="69132EFA"/>
    <w:rsid w:val="699666E4"/>
    <w:rsid w:val="72D70525"/>
    <w:rsid w:val="751A46D0"/>
    <w:rsid w:val="778A102A"/>
    <w:rsid w:val="78611415"/>
    <w:rsid w:val="7AD011DD"/>
    <w:rsid w:val="7AF05B67"/>
    <w:rsid w:val="7AF42393"/>
    <w:rsid w:val="7B6074C7"/>
    <w:rsid w:val="7E7C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nhideWhenUsed="0" w:uiPriority="99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99"/>
    <w:rPr>
      <w:rFonts w:ascii="Arial" w:hAnsi="Arial" w:eastAsia="黑体" w:cs="Arial"/>
      <w:sz w:val="20"/>
      <w:szCs w:val="20"/>
    </w:rPr>
  </w:style>
  <w:style w:type="paragraph" w:styleId="3">
    <w:name w:val="Balloon Text"/>
    <w:basedOn w:val="1"/>
    <w:link w:val="13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2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rPr>
      <w:sz w:val="24"/>
      <w:szCs w:val="24"/>
    </w:rPr>
  </w:style>
  <w:style w:type="character" w:styleId="9">
    <w:name w:val="page number"/>
    <w:basedOn w:val="8"/>
    <w:qFormat/>
    <w:uiPriority w:val="99"/>
  </w:style>
  <w:style w:type="paragraph" w:styleId="10">
    <w:name w:val="List Paragraph"/>
    <w:basedOn w:val="1"/>
    <w:qFormat/>
    <w:uiPriority w:val="99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cs="Tahoma"/>
      <w:kern w:val="0"/>
      <w:sz w:val="22"/>
      <w:szCs w:val="22"/>
    </w:rPr>
  </w:style>
  <w:style w:type="character" w:customStyle="1" w:styleId="11">
    <w:name w:val="Header Char"/>
    <w:basedOn w:val="8"/>
    <w:link w:val="5"/>
    <w:semiHidden/>
    <w:qFormat/>
    <w:locked/>
    <w:uiPriority w:val="99"/>
    <w:rPr>
      <w:kern w:val="2"/>
      <w:sz w:val="18"/>
      <w:szCs w:val="18"/>
    </w:rPr>
  </w:style>
  <w:style w:type="character" w:customStyle="1" w:styleId="12">
    <w:name w:val="Footer Char"/>
    <w:basedOn w:val="8"/>
    <w:link w:val="4"/>
    <w:semiHidden/>
    <w:qFormat/>
    <w:locked/>
    <w:uiPriority w:val="99"/>
    <w:rPr>
      <w:kern w:val="2"/>
      <w:sz w:val="18"/>
      <w:szCs w:val="18"/>
    </w:rPr>
  </w:style>
  <w:style w:type="character" w:customStyle="1" w:styleId="13">
    <w:name w:val="Balloon Text Char"/>
    <w:basedOn w:val="8"/>
    <w:link w:val="3"/>
    <w:semiHidden/>
    <w:qFormat/>
    <w:locked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MC SYSTEM</Company>
  <Pages>20</Pages>
  <Words>3205</Words>
  <Characters>3291</Characters>
  <Lines>0</Lines>
  <Paragraphs>0</Paragraphs>
  <TotalTime>17</TotalTime>
  <ScaleCrop>false</ScaleCrop>
  <LinksUpToDate>false</LinksUpToDate>
  <CharactersWithSpaces>3447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2018-04-13T01:11:00Z</dcterms:created>
  <dc:creator>冯倩</dc:creator>
  <cp:lastModifiedBy>冯倩</cp:lastModifiedBy>
  <dcterms:modified xsi:type="dcterms:W3CDTF">2024-09-25T06:10:28Z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ICV">
    <vt:lpwstr>F5F2987480764244A9E91CDCC336DC63_12</vt:lpwstr>
  </property>
</Properties>
</file>