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page">
                  <wp:posOffset>694055</wp:posOffset>
                </wp:positionH>
                <wp:positionV relativeFrom="topMargin">
                  <wp:posOffset>861695</wp:posOffset>
                </wp:positionV>
                <wp:extent cx="6239510" cy="1670685"/>
                <wp:effectExtent l="0" t="0" r="889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4585" y="1435735"/>
                          <a:ext cx="6239510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三明学院学生工作部(处)文件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thick" w:color="FF0000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67.85pt;height:131.55pt;width:491.3pt;mso-position-horizontal-relative:page;mso-position-vertical-relative:page;z-index:-251658240;mso-width-relative:page;mso-height-relative:page;" fillcolor="#FFFFFF [3201]" filled="t" stroked="f" coordsize="21600,21600" o:gfxdata="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cv161gAAAAwBAAAPAAAAAAAAAAEAIAAAACIA&#10;AABkcnMvZG93bnJldi54bWxQSwECFAAUAAAACACHTuJA5R4Ki0QCAABa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  <w:t>三明学院学生工作部(处)文件</w:t>
                      </w:r>
                    </w:p>
                    <w:p>
                      <w:pPr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72"/>
                          <w:szCs w:val="72"/>
                          <w:u w:val="thick" w:color="FF0000"/>
                          <w:lang w:val="en-US" w:eastAsia="zh-CN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  <w14:textOutline w14:w="12700" w14:cmpd="sng">
            <w14:solidFill>
              <w14:srgbClr w14:val="FF0000">
                <w14:alpha w14:val="0"/>
              </w14:srgbClr>
            </w14:solidFill>
            <w14:prstDash w14:val="solid"/>
            <w14:round/>
          </w14:textOutline>
        </w:rPr>
        <w:t xml:space="preserve">                                      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明院学工〔2020〕21号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关于组织开展2020届毕业生就业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统计核查工作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的通知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 xml:space="preserve">根据教育部《关于开展2020届高校毕业生就业统计核查工作的通知》（教学司函[2020]22号）文件要求,决定开展我校2020届毕业生就业状况统计核查工作，现将具体事宜通知如下：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一、核查时间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2020年6月30日至12月31日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宋体" w:hAnsi="宋体" w:cs="宋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二、核查对象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2020届毕业生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三、核查要求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各学院要严格落实“四不准”要求，不准以任何方式强迫毕业生签订就业协议和劳动合同，不准将毕业证书、学位证书发放与毕业生签约挂钩，不准以户档托管为由劝说毕业生签订虚假就业协议，不准将毕业生顶岗实习、见习证明材料作为就业证明材料，认真开展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hint="eastAsia" w:ascii="仿宋_GB2312" w:hAnsi="微软雅黑" w:eastAsia="仿宋_GB231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各学院、各毕业班辅导员要对《就业协议书》、《就业劳动合同》、《接收函》等毕业生填写上报的就业材料严格把关，逐一核实，确保就业信息真实可靠，安排专人规范、准确上报福建省毕业生就业管理系统数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各学院要规范就业数据统计，层层抓落实，不定期进行自我核查，对就业统计数据弄虚作假情况，一经核实立刻整改和上报，坚决防止发生“就业率注水”现象。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4.各学院于6月30日起开展自查，填写</w:t>
      </w:r>
      <w:r>
        <w:rPr>
          <w:rFonts w:hint="eastAsia" w:ascii="仿宋_GB2312" w:hAnsi="微软雅黑" w:eastAsia="仿宋_GB2312"/>
          <w:szCs w:val="32"/>
          <w:shd w:val="clear" w:color="auto" w:fill="FFFFFF"/>
          <w:lang w:eastAsia="zh-CN"/>
        </w:rPr>
        <w:t>就业统计表、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自查表，并形成学院自查报告（报告内容需包含自查过程、结果、存在问题、整改措施等相关内容），于7月</w:t>
      </w: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/>
          <w:szCs w:val="32"/>
          <w:shd w:val="clear" w:color="auto" w:fill="FFFFFF"/>
          <w:lang w:eastAsia="zh-CN"/>
        </w:rPr>
        <w:t>下午下班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前将</w:t>
      </w:r>
      <w:r>
        <w:rPr>
          <w:rFonts w:hint="eastAsia" w:ascii="仿宋_GB2312" w:hAnsi="微软雅黑" w:eastAsia="仿宋_GB2312"/>
          <w:szCs w:val="32"/>
          <w:shd w:val="clear" w:color="auto" w:fill="FFFFFF"/>
          <w:lang w:eastAsia="zh-CN"/>
        </w:rPr>
        <w:t>就业统计表、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自查表及自查报告报送送至学生工作处就业指导中心何秀清处（纸质版院领导签字、加盖学院公章）。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5.学生工作处于6月30日起到各学院开展不定期核查，具体安排另行通知。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6.2020届毕业生就业状况统计核查工作举报电话：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学生工作处  0598-8397933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4" w:firstLineChars="200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</w:rPr>
        <w:t>纪检监察室  0598-8399682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szCs w:val="32"/>
          <w:shd w:val="clear" w:color="auto" w:fill="FFFFFF"/>
          <w:lang w:eastAsia="zh-CN"/>
        </w:rPr>
        <w:t>附件：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三明学院2020届毕业生就业统计工作承诺书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81" w:firstLineChars="300"/>
        <w:jc w:val="left"/>
        <w:textAlignment w:val="auto"/>
        <w:rPr>
          <w:rFonts w:hint="eastAsia" w:ascii="仿宋_GB2312" w:hAnsi="微软雅黑" w:eastAsia="仿宋_GB231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三明学院二级学院2020届毕业生就业统计自查表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3.三明学院二级学院2020届毕业生就业统计表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Verdana" w:eastAsia="仿宋_GB2312" w:cs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Verdana" w:eastAsia="仿宋_GB2312" w:cs="仿宋_GB2312"/>
          <w:kern w:val="0"/>
          <w:szCs w:val="32"/>
        </w:rPr>
      </w:pPr>
      <w:r>
        <w:rPr>
          <w:rFonts w:hint="eastAsia" w:ascii="仿宋_GB2312" w:hAnsi="Verdana" w:eastAsia="仿宋_GB2312" w:cs="仿宋_GB2312"/>
          <w:kern w:val="0"/>
          <w:szCs w:val="32"/>
        </w:rPr>
        <w:t xml:space="preserve">                            </w:t>
      </w:r>
      <w:r>
        <w:rPr>
          <w:rFonts w:hint="eastAsia" w:ascii="仿宋_GB2312" w:hAnsi="Verdana" w:eastAsia="仿宋_GB2312" w:cs="仿宋_GB2312"/>
          <w:kern w:val="0"/>
          <w:szCs w:val="32"/>
          <w:lang w:val="en-US" w:eastAsia="zh-CN"/>
        </w:rPr>
        <w:t xml:space="preserve">    </w:t>
      </w:r>
      <w:r>
        <w:rPr>
          <w:rFonts w:hint="eastAsia" w:ascii="仿宋_GB2312" w:hAnsi="Verdana" w:eastAsia="仿宋_GB2312" w:cs="仿宋_GB2312"/>
          <w:kern w:val="0"/>
          <w:szCs w:val="32"/>
        </w:rPr>
        <w:t>学生工作部（处）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Verdana" w:eastAsia="仿宋_GB2312" w:cs="仿宋_GB2312"/>
          <w:kern w:val="0"/>
          <w:szCs w:val="32"/>
        </w:rPr>
        <w:t xml:space="preserve">                                2020年6月29日</w:t>
      </w:r>
      <w:r>
        <w:rPr>
          <w:rFonts w:hint="eastAsia" w:ascii="仿宋_GB2312" w:hAnsi="Verdana" w:eastAsia="仿宋_GB2312" w:cs="仿宋_GB2312"/>
          <w:kern w:val="0"/>
          <w:szCs w:val="32"/>
          <w:lang w:val="en-US" w:eastAsia="zh-CN"/>
        </w:rPr>
        <w:t xml:space="preserve">     </w:t>
      </w:r>
    </w:p>
    <w:tbl>
      <w:tblPr>
        <w:tblStyle w:val="11"/>
        <w:tblpPr w:leftFromText="180" w:rightFromText="180" w:vertAnchor="text" w:horzAnchor="page" w:tblpX="1720" w:tblpY="344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3" w:firstLineChars="50"/>
              <w:textAlignment w:val="auto"/>
              <w:rPr>
                <w:rFonts w:ascii="仿宋_GB2312" w:hAnsi="微软雅黑" w:eastAsia="仿宋_GB231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三明学院学生工作部（处）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_GB2312" w:hAnsi="微软雅黑" w:eastAsia="仿宋_GB231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仿宋_GB2312" w:hAnsi="微软雅黑" w:eastAsia="仿宋_GB2312"/>
                <w:szCs w:val="32"/>
                <w:shd w:val="clear" w:color="auto" w:fill="FFFFFF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三明学院2020届毕业生就业统计工作承诺书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为进一步规范我校毕业生就业状况统计工作，实事求是反映毕业生就业状况，</w:t>
      </w:r>
      <w:r>
        <w:rPr>
          <w:rFonts w:hint="eastAsia" w:ascii="仿宋_GB2312" w:hAnsi="微软雅黑" w:eastAsia="仿宋_GB2312"/>
          <w:szCs w:val="32"/>
          <w:shd w:val="clear" w:color="auto" w:fill="FFFFFF"/>
        </w:rPr>
        <w:t>根据教育部《关于开展2020届高校毕业生就业统计核查工作的通知》（教学司函[2020]22号）文件要求, 开展 2020届毕业生就业状况统计核查工作，</w:t>
      </w:r>
      <w:r>
        <w:rPr>
          <w:rFonts w:hint="eastAsia" w:ascii="仿宋_GB2312" w:hAnsi="宋体" w:eastAsia="仿宋_GB2312" w:cs="宋体"/>
          <w:kern w:val="0"/>
          <w:szCs w:val="32"/>
        </w:rPr>
        <w:t>制定本承诺书：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一、学院严格执行“四不准”规定，承诺不以任何方式强迫毕业生签订就业协议和劳动合同，不将毕业证书、学位证书发放与毕业生签约挂钩，不以户档托管为由劝说毕业生签订虚假就业协议，不将毕业生顶岗实习、见习证明材料作为就业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二、学院和毕业班辅导员对《就业协议书》、《就业劳动合同》、《接收函》等毕业生填写上报的就业材料严格把关，逐一核实，确保就业信息真实可靠，安排专人规范、准确上报福建省毕业生就业管理系统数据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三、学院规范就业数据统计，层层抓落实，不定期进行自我核查，对就业统计数据弄虚作假情况，一经核实立刻整改和上报，坚决防止发生“就业率注水”现象。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四、本承诺书经单位盖章后生效，承诺目标不受单位负责人的变动而影响，单位负责人如有变动，本承诺书由接任者继续履行。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五、本承诺书一式两份，签订双方各持一份。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81" w:firstLineChars="300"/>
        <w:textAlignment w:val="auto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 xml:space="preserve">学生工作处    </w:t>
      </w:r>
      <w:r>
        <w:rPr>
          <w:rFonts w:hint="eastAsia" w:ascii="仿宋_GB2312" w:hAnsi="宋体" w:eastAsia="仿宋_GB2312" w:cs="宋体"/>
          <w:kern w:val="0"/>
          <w:szCs w:val="32"/>
        </w:rPr>
        <w:tab/>
      </w:r>
      <w:r>
        <w:rPr>
          <w:rFonts w:hint="eastAsia" w:ascii="仿宋_GB2312" w:hAnsi="宋体" w:eastAsia="仿宋_GB2312" w:cs="宋体"/>
          <w:kern w:val="0"/>
          <w:szCs w:val="32"/>
        </w:rPr>
        <w:t xml:space="preserve">                  二级学院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时间：   年   月   日</w:t>
      </w:r>
      <w:r>
        <w:rPr>
          <w:rFonts w:hint="eastAsia" w:ascii="仿宋_GB2312" w:hAnsi="宋体" w:eastAsia="仿宋_GB2312" w:cs="宋体"/>
          <w:kern w:val="0"/>
          <w:szCs w:val="32"/>
        </w:rPr>
        <w:tab/>
      </w:r>
      <w:r>
        <w:rPr>
          <w:rFonts w:hint="eastAsia" w:ascii="仿宋_GB2312" w:hAnsi="宋体" w:eastAsia="仿宋_GB2312" w:cs="宋体"/>
          <w:kern w:val="0"/>
          <w:szCs w:val="32"/>
        </w:rPr>
        <w:t xml:space="preserve">         时间：   年   月  日</w:t>
      </w:r>
    </w:p>
    <w:p>
      <w:p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jc w:val="center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三明学院xx学院2020届毕业生就业统计自查表</w:t>
      </w:r>
    </w:p>
    <w:p>
      <w:pPr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学院：（盖章）             院领导：（签字）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280"/>
        <w:gridCol w:w="1695"/>
        <w:gridCol w:w="3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453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核查时间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核查人</w:t>
            </w:r>
          </w:p>
        </w:tc>
        <w:tc>
          <w:tcPr>
            <w:tcW w:w="345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1453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核查内容</w:t>
            </w:r>
          </w:p>
        </w:tc>
        <w:tc>
          <w:tcPr>
            <w:tcW w:w="7434" w:type="dxa"/>
            <w:gridSpan w:val="3"/>
          </w:tcPr>
          <w:p>
            <w:pPr>
              <w:tabs>
                <w:tab w:val="left" w:pos="1643"/>
              </w:tabs>
              <w:rPr>
                <w:rFonts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</w:pPr>
          </w:p>
          <w:p>
            <w:pPr>
              <w:tabs>
                <w:tab w:val="left" w:pos="1643"/>
              </w:tabs>
              <w:rPr>
                <w:rFonts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  <w:t>1、是否强迫毕业生签订就业协议、劳动合同；</w:t>
            </w:r>
          </w:p>
          <w:p>
            <w:pPr>
              <w:tabs>
                <w:tab w:val="left" w:pos="1643"/>
              </w:tabs>
              <w:rPr>
                <w:rFonts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  <w:t>2、领取毕业证、学位证是否附带就业要求；</w:t>
            </w:r>
          </w:p>
          <w:p>
            <w:pPr>
              <w:tabs>
                <w:tab w:val="left" w:pos="1643"/>
              </w:tabs>
              <w:rPr>
                <w:rFonts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  <w:t>3、毕业去向尤其是其他录用形式就业、灵活就业等其他就业形式是否如实填写；</w:t>
            </w:r>
          </w:p>
          <w:p>
            <w:pPr>
              <w:tabs>
                <w:tab w:val="left" w:pos="1643"/>
              </w:tabs>
              <w:rPr>
                <w:rFonts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  <w:t>4、是否存在用实习证明代替就业证明。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453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检查情况</w:t>
            </w:r>
          </w:p>
        </w:tc>
        <w:tc>
          <w:tcPr>
            <w:tcW w:w="7434" w:type="dxa"/>
            <w:gridSpan w:val="3"/>
          </w:tcPr>
          <w:p>
            <w:pPr>
              <w:ind w:firstLine="327" w:firstLineChars="10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对核查过程中存在的问题及结果进行说明。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53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备注</w:t>
            </w:r>
          </w:p>
        </w:tc>
        <w:tc>
          <w:tcPr>
            <w:tcW w:w="743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1554"/>
        </w:sectPr>
      </w:pPr>
    </w:p>
    <w:p>
      <w:p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三明学院xx学院2020届毕业生就业统计表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数据截止日期：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学院：（盖章）                         院领导：（签字）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499"/>
        <w:gridCol w:w="226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就业率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签订协议和劳动合同就业率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灵活就业率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创业率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升学率（含出国深造）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待就业率（有就业意愿未就业）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3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暂不就业率</w:t>
            </w: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1E55"/>
    <w:rsid w:val="0AC70D06"/>
    <w:rsid w:val="0B4C1026"/>
    <w:rsid w:val="0B99065E"/>
    <w:rsid w:val="0D495286"/>
    <w:rsid w:val="1530265B"/>
    <w:rsid w:val="1A97133F"/>
    <w:rsid w:val="1AB61F6A"/>
    <w:rsid w:val="1C262402"/>
    <w:rsid w:val="1F377CB7"/>
    <w:rsid w:val="24FF2061"/>
    <w:rsid w:val="2AEE34C8"/>
    <w:rsid w:val="2C6C69CC"/>
    <w:rsid w:val="348A41E1"/>
    <w:rsid w:val="371C3C5F"/>
    <w:rsid w:val="3BA07E47"/>
    <w:rsid w:val="3F4C2D34"/>
    <w:rsid w:val="3FE670BA"/>
    <w:rsid w:val="46E2374C"/>
    <w:rsid w:val="476B02CF"/>
    <w:rsid w:val="47A05DE3"/>
    <w:rsid w:val="48B76D28"/>
    <w:rsid w:val="492F0419"/>
    <w:rsid w:val="4B790771"/>
    <w:rsid w:val="4BBF129A"/>
    <w:rsid w:val="50041B1C"/>
    <w:rsid w:val="531F54E6"/>
    <w:rsid w:val="53A22914"/>
    <w:rsid w:val="544C6536"/>
    <w:rsid w:val="54CB0290"/>
    <w:rsid w:val="585C6669"/>
    <w:rsid w:val="58FB05FE"/>
    <w:rsid w:val="5917217B"/>
    <w:rsid w:val="59486D59"/>
    <w:rsid w:val="59927F0E"/>
    <w:rsid w:val="5B96658B"/>
    <w:rsid w:val="67D836EF"/>
    <w:rsid w:val="68EF1468"/>
    <w:rsid w:val="69D26008"/>
    <w:rsid w:val="6F3765E4"/>
    <w:rsid w:val="744A7534"/>
    <w:rsid w:val="79E51F64"/>
    <w:rsid w:val="7AAE00C8"/>
    <w:rsid w:val="7C0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三明学院学生工作部（处）文件"/>
    <w:basedOn w:val="10"/>
    <w:qFormat/>
    <w:uiPriority w:val="0"/>
    <w:rPr>
      <w:rFonts w:asciiTheme="minorAscii" w:hAnsiTheme="minorAscii"/>
      <w:b w:val="0"/>
      <w:sz w:val="84"/>
    </w:rPr>
  </w:style>
  <w:style w:type="paragraph" w:customStyle="1" w:styleId="15">
    <w:name w:val="样式1"/>
    <w:basedOn w:val="10"/>
    <w:next w:val="10"/>
    <w:qFormat/>
    <w:uiPriority w:val="0"/>
    <w:rPr>
      <w:rFonts w:asciiTheme="minorAscii" w:hAnsiTheme="minorAscii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平衡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109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2019-06-12T10:42:00Z</dcterms:created>
  <dc:creator>qzuser</dc:creator>
  <cp:lastModifiedBy>苏潇</cp:lastModifiedBy>
  <dcterms:modified xsi:type="dcterms:W3CDTF">2020-06-30T09:46:32Z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